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6A3F" w14:textId="77777777" w:rsidR="00C32C91" w:rsidRPr="00271F59" w:rsidRDefault="00C32C91" w:rsidP="00C32C91">
      <w:pPr>
        <w:spacing w:line="480" w:lineRule="auto"/>
        <w:jc w:val="left"/>
        <w:rPr>
          <w:rFonts w:eastAsia="Calibri" w:cs="Times New Roman"/>
          <w:szCs w:val="28"/>
        </w:rPr>
      </w:pPr>
      <w:r w:rsidRPr="00271F59">
        <w:rPr>
          <w:rFonts w:eastAsia="Calibri" w:cs="Times New Roman"/>
          <w:b/>
          <w:bCs/>
          <w:szCs w:val="28"/>
        </w:rPr>
        <w:t>XÚC TÁC LƯỠNG CHỨC</w:t>
      </w:r>
      <w:r w:rsidRPr="00271F59">
        <w:rPr>
          <w:rFonts w:eastAsia="Calibri" w:cs="Times New Roman"/>
          <w:szCs w:val="28"/>
        </w:rPr>
        <w:t xml:space="preserve"> (A. Bifunctional catalysts)</w:t>
      </w:r>
    </w:p>
    <w:p w14:paraId="256EAA56" w14:textId="77777777" w:rsidR="00C32C91" w:rsidRPr="00271F59" w:rsidRDefault="00C32C91" w:rsidP="00C32C91">
      <w:pPr>
        <w:rPr>
          <w:rFonts w:eastAsia="Calibri" w:cs="Times New Roman"/>
          <w:szCs w:val="28"/>
        </w:rPr>
      </w:pPr>
      <w:r w:rsidRPr="00271F59">
        <w:rPr>
          <w:rFonts w:eastAsia="Calibri" w:cs="Times New Roman"/>
          <w:szCs w:val="28"/>
        </w:rPr>
        <w:t>Hệ xúc tác cho một số quá trình xúc tác đòi hỏi sự có mặt của hai loại tâm xúc tác để có thể đạt được hiệu suất cao của sản phẩm mong muốn. . XTLC là trường hợp phổ biến nhất của xúc tác đa chức, xúc tác cho các quá trình đòi hỏi sự có mặt của nhiều hơn một loại tâm xúc tác. Đặc điểm chính của xúc tác đa chức là sự tương tác hiệp đồng giữa các loại tâm hoạt tính để tạo nên hoạt tính chung của hệ xúc tác. Ưu điểm nổi bật của loại xúc tác này là có thể chuyển hóa cả những sản phẩm trung gian hoạt động thường dẫn đến sự tạo coke và làm giảm năng suất sản phẩm. Các phản ứng xảy ra theo các bước liên tiếp liên quan đến hai loại tâm hoạt tính khác nhau (lưỡng chức) của chất xúc tác. Mỗi một loại tâm có một chức năng riêng. Ví dụ, quá trình đồng phân hóa n-hexan thành met</w:t>
      </w:r>
      <w:r w:rsidR="00F66394" w:rsidRPr="00271F59">
        <w:rPr>
          <w:rFonts w:eastAsia="Calibri" w:cs="Times New Roman"/>
          <w:szCs w:val="28"/>
        </w:rPr>
        <w:t>h</w:t>
      </w:r>
      <w:r w:rsidRPr="00271F59">
        <w:rPr>
          <w:rFonts w:eastAsia="Calibri" w:cs="Times New Roman"/>
          <w:szCs w:val="28"/>
        </w:rPr>
        <w:t xml:space="preserve">ylpentane được tiến hành trên chất xúc tác platin-silica alumina. Chất xúc tác này có hai loại tâm hoạt động: i) các tâm platin làm nhiệm vụ dehydro hóa n-hexan thành n-hexen và hydro hóa metylpenten thành metylpentan; ii) các tâm </w:t>
      </w:r>
      <w:r w:rsidR="00F66394" w:rsidRPr="00271F59">
        <w:rPr>
          <w:rFonts w:eastAsia="Calibri" w:cs="Times New Roman"/>
          <w:szCs w:val="28"/>
        </w:rPr>
        <w:t xml:space="preserve">acid </w:t>
      </w:r>
      <w:r w:rsidRPr="00271F59">
        <w:rPr>
          <w:rFonts w:eastAsia="Calibri" w:cs="Times New Roman"/>
          <w:szCs w:val="28"/>
        </w:rPr>
        <w:t>có chức năng đồng phân hóa hexene thành met</w:t>
      </w:r>
      <w:r w:rsidR="00F66394" w:rsidRPr="00271F59">
        <w:rPr>
          <w:rFonts w:eastAsia="Calibri" w:cs="Times New Roman"/>
          <w:szCs w:val="28"/>
        </w:rPr>
        <w:t>h</w:t>
      </w:r>
      <w:r w:rsidRPr="00271F59">
        <w:rPr>
          <w:rFonts w:eastAsia="Calibri" w:cs="Times New Roman"/>
          <w:szCs w:val="28"/>
        </w:rPr>
        <w:t xml:space="preserve">ylpentene. Bên cạnh các bước hóa học cơ bản này còn kèm theo sự khuếch tán của các chất trung gian (olefin) từ tâm kim loại đến tâm </w:t>
      </w:r>
      <w:r w:rsidR="00F66394" w:rsidRPr="00271F59">
        <w:rPr>
          <w:rFonts w:eastAsia="Calibri" w:cs="Times New Roman"/>
          <w:szCs w:val="28"/>
        </w:rPr>
        <w:t xml:space="preserve">acid </w:t>
      </w:r>
      <w:r w:rsidRPr="00271F59">
        <w:rPr>
          <w:rFonts w:eastAsia="Calibri" w:cs="Times New Roman"/>
          <w:szCs w:val="28"/>
        </w:rPr>
        <w:t>và ngược lại.</w:t>
      </w:r>
      <w:r w:rsidRPr="00271F59">
        <w:rPr>
          <w:rFonts w:eastAsia="Calibri" w:cs="Times New Roman"/>
          <w:sz w:val="22"/>
          <w:szCs w:val="22"/>
        </w:rPr>
        <w:t xml:space="preserve"> </w:t>
      </w:r>
      <w:r w:rsidRPr="00271F59">
        <w:rPr>
          <w:rFonts w:eastAsia="Calibri" w:cs="Times New Roman"/>
          <w:szCs w:val="28"/>
        </w:rPr>
        <w:t>Về nguyên tắc, mỗi giai đoạn phản ứng có thể được thực hiện riêng biệt trên từng loại xúc tác tương ứng hoặc có thể được thực hiện trong cùng một môi trường bằng cách trộn các lượng thích hợp của hai chất xúc tác với nhau. Phương thức pha trộn ảnh hưởng mạnh đến hiêu suất của phản ứng vì thế việc nghiên cứu để tìm ra một tỉ lệ thích hợp nhất luôn là một thách thức. Trên thực tế, bằng cách kết hợp hai chất xúc tác thành một hạt duy nhất sẽ tăng được sự chuyển hóa do loại bỏ được yêu cầu các chất trung gian phải khuếch tán qua khoảng cách giữa hai loại tâm từ loại chất xúc tác này tới loại chất xúc tác khác. Các nghiên cứu thực nghiệm có nhiệm vụ tìm kiếm tỉ lệ pha trộn tối ưu của các thành phần chức năng để tạo sản phẩm từ chất ban đầu [1, 2].</w:t>
      </w:r>
    </w:p>
    <w:p w14:paraId="2189689B" w14:textId="77777777" w:rsidR="00C32C91" w:rsidRPr="00271F59" w:rsidRDefault="00C32C91" w:rsidP="00C32C91">
      <w:pPr>
        <w:rPr>
          <w:rFonts w:eastAsia="Calibri" w:cs="Times New Roman"/>
          <w:szCs w:val="28"/>
        </w:rPr>
      </w:pPr>
      <w:r w:rsidRPr="00271F59">
        <w:rPr>
          <w:rFonts w:eastAsia="Calibri" w:cs="Times New Roman"/>
          <w:szCs w:val="28"/>
        </w:rPr>
        <w:t>Có nhiều loại XTLC khác nhau:</w:t>
      </w:r>
    </w:p>
    <w:p w14:paraId="2F7EC11A" w14:textId="77777777" w:rsidR="00C32C91" w:rsidRPr="00271F59" w:rsidRDefault="00C32C91" w:rsidP="00C32C91">
      <w:pPr>
        <w:numPr>
          <w:ilvl w:val="0"/>
          <w:numId w:val="2"/>
        </w:numPr>
        <w:spacing w:line="276" w:lineRule="auto"/>
        <w:rPr>
          <w:rFonts w:eastAsia="Calibri" w:cs="Times New Roman"/>
          <w:szCs w:val="28"/>
        </w:rPr>
      </w:pPr>
      <w:r w:rsidRPr="00271F59">
        <w:rPr>
          <w:rFonts w:eastAsia="Calibri" w:cs="Times New Roman"/>
          <w:szCs w:val="28"/>
        </w:rPr>
        <w:t>Chất xúc tác lưỡng kim gồm hai kim loại khác nhau, trong đó một kim loại thường đóng vai trò trung tâm có hàm lượng nhiều hơn giữ chức năng chính, kim loại thứ hai được thêm vào thường là để hỗ trợ. Hiệu suất hỗ trợ xúc tác sẽ được kiểm soát thông qua việc kiểm soát thành phần kim loại thêm vào. Ví dụ, việc bổ sung Au (tương đối không hoạt động) vào xúc tác Pd trong phản ứng hydro hóa olefin đã cải thiện hoạt tính là do làm giảm số nguyên tử Pd liền kề; các cụm Pd bề mặt tiếp giáp có liên quan đến sự tích tụ các loại không hoạt động. Sự hiện diện của hai kim loại ở bề mặt trong các điều kiện phản ứng có liên quan đến hiệu ứng lưỡng chức. Các hạt nano PdAu có hoạt tính cao đối với quá trình oxy hóa CO ở nhiệt độ thấp. Các vị trí giàu Pd là cần thiết để thực hiện quá trình hấp phụ oxygen phân ly, trong khi các vị trí giàu Au hoạt động cho quá trình oxy hóa CO. Các hiệu ứng tương tự cũng được tìm thấy trong quá trình hydro hóa olefin, trong đó các vị trí Pd cần thiết cho quá trình hấp phụ hydro phân ly, trong khi các vị trí Au hoạt động cho quá trình hydro hóa.</w:t>
      </w:r>
    </w:p>
    <w:p w14:paraId="2CC2BE2A" w14:textId="77777777" w:rsidR="00C32C91" w:rsidRPr="00271F59" w:rsidRDefault="00C32C91" w:rsidP="00F66394">
      <w:pPr>
        <w:numPr>
          <w:ilvl w:val="0"/>
          <w:numId w:val="2"/>
        </w:numPr>
        <w:spacing w:line="276" w:lineRule="auto"/>
        <w:rPr>
          <w:rFonts w:eastAsia="Calibri" w:cs="Times New Roman"/>
          <w:szCs w:val="28"/>
        </w:rPr>
      </w:pPr>
      <w:r w:rsidRPr="00271F59">
        <w:rPr>
          <w:rFonts w:eastAsia="Calibri" w:cs="Times New Roman"/>
          <w:szCs w:val="28"/>
        </w:rPr>
        <w:lastRenderedPageBreak/>
        <w:t xml:space="preserve">Đối với chất xúc tác </w:t>
      </w:r>
      <w:r w:rsidR="00F66394" w:rsidRPr="00271F59">
        <w:rPr>
          <w:rFonts w:eastAsia="Calibri" w:cs="Times New Roman"/>
          <w:szCs w:val="28"/>
        </w:rPr>
        <w:t xml:space="preserve">oxide </w:t>
      </w:r>
      <w:r w:rsidRPr="00271F59">
        <w:rPr>
          <w:rFonts w:eastAsia="Calibri" w:cs="Times New Roman"/>
          <w:szCs w:val="28"/>
        </w:rPr>
        <w:t xml:space="preserve">kim loại-kim loại, sự tiếp xúc giữa kim loại với </w:t>
      </w:r>
      <w:r w:rsidR="00F66394" w:rsidRPr="00271F59">
        <w:rPr>
          <w:rFonts w:eastAsia="Calibri" w:cs="Times New Roman"/>
          <w:szCs w:val="28"/>
        </w:rPr>
        <w:t xml:space="preserve">oxide </w:t>
      </w:r>
      <w:r w:rsidRPr="00271F59">
        <w:rPr>
          <w:rFonts w:eastAsia="Calibri" w:cs="Times New Roman"/>
          <w:szCs w:val="28"/>
        </w:rPr>
        <w:t xml:space="preserve">kim loại là những vị trí quan trọng trong quá trình phản ứng. Ví dụ, Au được phân tán trên </w:t>
      </w:r>
      <w:r w:rsidR="00F66394" w:rsidRPr="00271F59">
        <w:rPr>
          <w:rFonts w:eastAsia="Calibri" w:cs="Times New Roman"/>
          <w:szCs w:val="28"/>
        </w:rPr>
        <w:t xml:space="preserve">oxide </w:t>
      </w:r>
      <w:r w:rsidRPr="00271F59">
        <w:rPr>
          <w:rFonts w:eastAsia="Calibri" w:cs="Times New Roman"/>
          <w:szCs w:val="28"/>
        </w:rPr>
        <w:t xml:space="preserve">ceri hoặc titan hoạt động cho phản ứng dịch chuyển nước-khí (water-gas shift) ở nhiệt độ tương đối thấp, dao động từ khoảng 200÷350°C. </w:t>
      </w:r>
      <w:r w:rsidR="00F66394" w:rsidRPr="00271F59">
        <w:rPr>
          <w:rFonts w:eastAsia="Calibri" w:cs="Times New Roman"/>
          <w:szCs w:val="28"/>
        </w:rPr>
        <w:t xml:space="preserve">Oxide </w:t>
      </w:r>
      <w:r w:rsidRPr="00271F59">
        <w:rPr>
          <w:rFonts w:eastAsia="Calibri" w:cs="Times New Roman"/>
          <w:szCs w:val="28"/>
        </w:rPr>
        <w:t>kim loại hoạt động cần cho bước phân ly nước, trong khi quá trình oxy hóa CO xảy ra tại các vị trí ở bề mặt tiếp xúc Au-oxit kim loại. Một cơ chế khác đã được chứng minh trên xúc tác Pt/ZrO2 cho quá trình reforming metan: kim loại Pt hoạt hóa metan và dehydro hóa met</w:t>
      </w:r>
      <w:r w:rsidR="00F66394" w:rsidRPr="00271F59">
        <w:rPr>
          <w:rFonts w:eastAsia="Calibri" w:cs="Times New Roman"/>
          <w:szCs w:val="28"/>
        </w:rPr>
        <w:t>h</w:t>
      </w:r>
      <w:r w:rsidRPr="00271F59">
        <w:rPr>
          <w:rFonts w:eastAsia="Calibri" w:cs="Times New Roman"/>
          <w:szCs w:val="28"/>
        </w:rPr>
        <w:t>an thành CHx, trong khi các vị trí ở giao diện Pt-ZrO2 chịu trách nhiệm phân ly CO</w:t>
      </w:r>
      <w:r w:rsidRPr="00271F59">
        <w:rPr>
          <w:rFonts w:eastAsia="Calibri" w:cs="Times New Roman"/>
          <w:szCs w:val="28"/>
          <w:vertAlign w:val="subscript"/>
        </w:rPr>
        <w:t>2</w:t>
      </w:r>
      <w:r w:rsidRPr="00271F59">
        <w:rPr>
          <w:rFonts w:eastAsia="Calibri" w:cs="Times New Roman"/>
          <w:szCs w:val="28"/>
        </w:rPr>
        <w:t>. Một phản ứng khác là điều chế isobutanol từ khí tổng hợp (CO và H</w:t>
      </w:r>
      <w:r w:rsidRPr="00271F59">
        <w:rPr>
          <w:rFonts w:eastAsia="Calibri" w:cs="Times New Roman"/>
          <w:szCs w:val="28"/>
          <w:vertAlign w:val="subscript"/>
        </w:rPr>
        <w:t>2</w:t>
      </w:r>
      <w:r w:rsidRPr="00271F59">
        <w:rPr>
          <w:rFonts w:eastAsia="Calibri" w:cs="Times New Roman"/>
          <w:szCs w:val="28"/>
        </w:rPr>
        <w:t xml:space="preserve">) trên XTLC Cu/MgO: Khí tổng hợp ban đầu tạo thành ancol có thể là do kết hợp với nhau thông qua các phản ứng ngưng tụ. Trong cơ chế được đề xuất, </w:t>
      </w:r>
      <w:r w:rsidR="00F66394" w:rsidRPr="00271F59">
        <w:rPr>
          <w:rFonts w:eastAsia="Calibri" w:cs="Times New Roman"/>
          <w:szCs w:val="28"/>
        </w:rPr>
        <w:t xml:space="preserve">alcohol </w:t>
      </w:r>
      <w:r w:rsidRPr="00271F59">
        <w:rPr>
          <w:rFonts w:eastAsia="Calibri" w:cs="Times New Roman"/>
          <w:szCs w:val="28"/>
        </w:rPr>
        <w:t xml:space="preserve">hấp phụ phân ly trên bề mặt </w:t>
      </w:r>
      <w:r w:rsidR="00F66394" w:rsidRPr="00271F59">
        <w:rPr>
          <w:rFonts w:eastAsia="Calibri" w:cs="Times New Roman"/>
          <w:szCs w:val="28"/>
        </w:rPr>
        <w:t>oxide base</w:t>
      </w:r>
      <w:r w:rsidRPr="00271F59">
        <w:rPr>
          <w:rFonts w:eastAsia="Calibri" w:cs="Times New Roman"/>
          <w:szCs w:val="28"/>
        </w:rPr>
        <w:t xml:space="preserve">, tạo ra hydro và </w:t>
      </w:r>
      <w:r w:rsidR="00F66394" w:rsidRPr="00271F59">
        <w:rPr>
          <w:rFonts w:eastAsia="Calibri" w:cs="Times New Roman"/>
          <w:szCs w:val="28"/>
        </w:rPr>
        <w:t>alcoxide</w:t>
      </w:r>
      <w:r w:rsidRPr="00271F59">
        <w:rPr>
          <w:rFonts w:eastAsia="Calibri" w:cs="Times New Roman"/>
          <w:szCs w:val="28"/>
        </w:rPr>
        <w:t>. Hydro được loại bỏ bằng cách di chuyển đến các vị trí Cu, ở đấy chúng tái kết hợp và giải hấp dưới dạ</w:t>
      </w:r>
      <w:r w:rsidR="00271F59" w:rsidRPr="00271F59">
        <w:rPr>
          <w:rFonts w:eastAsia="Calibri" w:cs="Times New Roman"/>
          <w:szCs w:val="28"/>
        </w:rPr>
        <w:t>ng H</w:t>
      </w:r>
      <w:r w:rsidR="00271F59" w:rsidRPr="00271F59">
        <w:rPr>
          <w:rFonts w:eastAsia="Calibri" w:cs="Times New Roman"/>
          <w:szCs w:val="28"/>
          <w:vertAlign w:val="subscript"/>
        </w:rPr>
        <w:t>2</w:t>
      </w:r>
      <w:r w:rsidR="00271F59" w:rsidRPr="00271F59">
        <w:rPr>
          <w:rFonts w:eastAsia="Calibri" w:cs="Times New Roman"/>
          <w:szCs w:val="28"/>
        </w:rPr>
        <w:t>, trong khi các</w:t>
      </w:r>
      <w:r w:rsidR="00F66394" w:rsidRPr="00271F59">
        <w:rPr>
          <w:rFonts w:eastAsia="Calibri" w:cs="Times New Roman"/>
          <w:szCs w:val="28"/>
        </w:rPr>
        <w:t xml:space="preserve"> alcoxide </w:t>
      </w:r>
      <w:r w:rsidRPr="00271F59">
        <w:rPr>
          <w:rFonts w:eastAsia="Calibri" w:cs="Times New Roman"/>
          <w:szCs w:val="28"/>
        </w:rPr>
        <w:t>có thể bị dehydro hóa tiếp và cuối cùng tham gia vào các phản ứng ngưng tụ để tạo thành các hợp chất mạch dài hơn.</w:t>
      </w:r>
    </w:p>
    <w:p w14:paraId="4606222E" w14:textId="77777777" w:rsidR="00C32C91" w:rsidRPr="00271F59" w:rsidRDefault="00C32C91" w:rsidP="00C32C91">
      <w:pPr>
        <w:numPr>
          <w:ilvl w:val="0"/>
          <w:numId w:val="2"/>
        </w:numPr>
        <w:spacing w:line="276" w:lineRule="auto"/>
        <w:rPr>
          <w:rFonts w:eastAsia="Calibri" w:cs="Times New Roman"/>
          <w:szCs w:val="28"/>
        </w:rPr>
      </w:pPr>
      <w:r w:rsidRPr="00271F59">
        <w:rPr>
          <w:rFonts w:eastAsia="Calibri" w:cs="Times New Roman"/>
          <w:szCs w:val="28"/>
        </w:rPr>
        <w:t xml:space="preserve">Chất xúc tác zeolite lưỡng chức: là zeolit </w:t>
      </w:r>
      <w:r w:rsidR="00F66394" w:rsidRPr="00271F59">
        <w:rPr>
          <w:rFonts w:eastAsia="Calibri" w:cs="Times New Roman"/>
          <w:szCs w:val="28"/>
        </w:rPr>
        <w:t xml:space="preserve">acid </w:t>
      </w:r>
      <w:r w:rsidRPr="00271F59">
        <w:rPr>
          <w:rFonts w:eastAsia="Calibri" w:cs="Times New Roman"/>
          <w:szCs w:val="28"/>
        </w:rPr>
        <w:t xml:space="preserve">chứa kim loại được sử dụng trong nhiều quá trình lọc dầu và các ngành công nghiệp hóa dầu: hydrocracking, khử sáp, hydroisome hóa </w:t>
      </w:r>
      <w:r w:rsidR="00F66394" w:rsidRPr="00271F59">
        <w:rPr>
          <w:rFonts w:eastAsia="Calibri" w:cs="Times New Roman"/>
          <w:szCs w:val="28"/>
        </w:rPr>
        <w:t xml:space="preserve">alkan </w:t>
      </w:r>
      <w:r w:rsidRPr="00271F59">
        <w:rPr>
          <w:rFonts w:eastAsia="Calibri" w:cs="Times New Roman"/>
          <w:szCs w:val="28"/>
        </w:rPr>
        <w:t xml:space="preserve">C5-C6, hydroisome hóa aromat C8... Các chất xúc tác được sử dụng trong các quá trình này cần hai loại tâm: tâm kim loại có chức năng chính là hydro hóa và dehydro còn tâm axit có chức năng chính là cracking hoặc đồng phân hóa. Quá trình hydrocracking yêu cầu chất xúc tác vừa có độ </w:t>
      </w:r>
      <w:r w:rsidR="00F66394" w:rsidRPr="00271F59">
        <w:rPr>
          <w:rFonts w:eastAsia="Calibri" w:cs="Times New Roman"/>
          <w:szCs w:val="28"/>
        </w:rPr>
        <w:t xml:space="preserve">acid </w:t>
      </w:r>
      <w:r w:rsidRPr="00271F59">
        <w:rPr>
          <w:rFonts w:eastAsia="Calibri" w:cs="Times New Roman"/>
          <w:szCs w:val="28"/>
        </w:rPr>
        <w:t>cao vừa có hoạt tính hydro hóa cao. Yêu cầu này được thỏa mãn nếu sử dụng chất xúc tác zeolite lưỡng chức. Chức năng cracking được cung cấp bởi zeolite Y trong đó các ion natri đã được thay thế bằng hydro, đất hiếm hoặc các cation hóa trị hai, chức năng hydro hóa được cung cấp bởi các kim loại quý hoặc các kim loại khác. Hoạt tính và độ chọn lọc của xúc tác zeolite lưỡng chức bị chi phối bởi nhiều thông số nhưng phần lớn phụ thuộc vào qu</w:t>
      </w:r>
      <w:r w:rsidR="00F66394" w:rsidRPr="00271F59">
        <w:rPr>
          <w:rFonts w:eastAsia="Calibri" w:cs="Times New Roman"/>
          <w:szCs w:val="28"/>
        </w:rPr>
        <w:t>y</w:t>
      </w:r>
      <w:r w:rsidRPr="00271F59">
        <w:rPr>
          <w:rFonts w:eastAsia="Calibri" w:cs="Times New Roman"/>
          <w:szCs w:val="28"/>
        </w:rPr>
        <w:t xml:space="preserve"> trình tổng hợp, đặc biệt là cách đưa chức năng hydro hóa lên zeolite đóng vai trò quan trọng. </w:t>
      </w:r>
    </w:p>
    <w:p w14:paraId="745A1F24" w14:textId="77777777" w:rsidR="00C32C91" w:rsidRPr="00271F59" w:rsidRDefault="00C32C91" w:rsidP="00C32C91">
      <w:pPr>
        <w:rPr>
          <w:rFonts w:eastAsia="Calibri" w:cs="Times New Roman"/>
          <w:szCs w:val="28"/>
        </w:rPr>
      </w:pPr>
      <w:r w:rsidRPr="00271F59">
        <w:rPr>
          <w:rFonts w:eastAsia="Calibri" w:cs="Times New Roman"/>
          <w:szCs w:val="28"/>
        </w:rPr>
        <w:t>Xúc tác lưỡng chức kim loại-phối tử</w:t>
      </w:r>
      <w:r w:rsidR="006A2D7A" w:rsidRPr="00271F59">
        <w:rPr>
          <w:rFonts w:eastAsia="Calibri" w:cs="Times New Roman"/>
          <w:szCs w:val="28"/>
        </w:rPr>
        <w:t xml:space="preserve"> thường dùng để cắt đứt/</w:t>
      </w:r>
      <w:r w:rsidRPr="00271F59">
        <w:rPr>
          <w:rFonts w:eastAsia="Calibri" w:cs="Times New Roman"/>
          <w:szCs w:val="28"/>
        </w:rPr>
        <w:t xml:space="preserve">hình thành các liên kết X-H (X- O, N, C), thí dụ trong các phản ứng hydro hóa, dehydro hóa </w:t>
      </w:r>
      <w:r w:rsidR="006A2D7A" w:rsidRPr="00271F59">
        <w:rPr>
          <w:rFonts w:eastAsia="Calibri" w:cs="Times New Roman"/>
          <w:szCs w:val="28"/>
        </w:rPr>
        <w:t>keton</w:t>
      </w:r>
      <w:r w:rsidRPr="00271F59">
        <w:rPr>
          <w:rFonts w:eastAsia="Calibri" w:cs="Times New Roman"/>
          <w:szCs w:val="28"/>
        </w:rPr>
        <w:t xml:space="preserve">, </w:t>
      </w:r>
      <w:r w:rsidR="006A2D7A" w:rsidRPr="00271F59">
        <w:rPr>
          <w:rFonts w:eastAsia="Calibri" w:cs="Times New Roman"/>
          <w:szCs w:val="28"/>
        </w:rPr>
        <w:t>aldehyd</w:t>
      </w:r>
      <w:r w:rsidRPr="00271F59">
        <w:rPr>
          <w:rFonts w:eastAsia="Calibri" w:cs="Times New Roman"/>
          <w:szCs w:val="28"/>
        </w:rPr>
        <w:t xml:space="preserve">, </w:t>
      </w:r>
      <w:r w:rsidR="006A2D7A" w:rsidRPr="00271F59">
        <w:rPr>
          <w:rFonts w:eastAsia="Calibri" w:cs="Times New Roman"/>
          <w:szCs w:val="28"/>
        </w:rPr>
        <w:t>alcohol</w:t>
      </w:r>
      <w:r w:rsidRPr="00271F59">
        <w:rPr>
          <w:rFonts w:eastAsia="Calibri" w:cs="Times New Roman"/>
          <w:szCs w:val="28"/>
        </w:rPr>
        <w:t xml:space="preserve"> …</w:t>
      </w:r>
    </w:p>
    <w:tbl>
      <w:tblPr>
        <w:tblStyle w:val="TableGrid"/>
        <w:tblW w:w="0" w:type="auto"/>
        <w:tblLook w:val="04A0" w:firstRow="1" w:lastRow="0" w:firstColumn="1" w:lastColumn="0" w:noHBand="0" w:noVBand="1"/>
      </w:tblPr>
      <w:tblGrid>
        <w:gridCol w:w="9062"/>
      </w:tblGrid>
      <w:tr w:rsidR="00C32C91" w:rsidRPr="00271F59" w14:paraId="2F19531C" w14:textId="77777777" w:rsidTr="0022310B">
        <w:tc>
          <w:tcPr>
            <w:tcW w:w="9062" w:type="dxa"/>
            <w:tcBorders>
              <w:top w:val="nil"/>
              <w:left w:val="nil"/>
              <w:bottom w:val="nil"/>
              <w:right w:val="nil"/>
            </w:tcBorders>
          </w:tcPr>
          <w:p w14:paraId="40699F84" w14:textId="77777777" w:rsidR="00C32C91" w:rsidRPr="00271F59" w:rsidRDefault="00C32C91" w:rsidP="00C32C91">
            <w:pPr>
              <w:jc w:val="right"/>
              <w:rPr>
                <w:b/>
                <w:bCs/>
                <w:sz w:val="24"/>
                <w:szCs w:val="24"/>
              </w:rPr>
            </w:pPr>
            <w:r w:rsidRPr="00271F59">
              <w:rPr>
                <w:b/>
                <w:bCs/>
                <w:sz w:val="24"/>
                <w:szCs w:val="24"/>
              </w:rPr>
              <w:t>NGÔ THỊ THUẬN</w:t>
            </w:r>
          </w:p>
        </w:tc>
      </w:tr>
    </w:tbl>
    <w:p w14:paraId="79962FF0" w14:textId="77777777" w:rsidR="00C32C91" w:rsidRPr="00271F59" w:rsidRDefault="00C32C91" w:rsidP="00C32C91">
      <w:pPr>
        <w:rPr>
          <w:rFonts w:eastAsia="Calibri" w:cs="Times New Roman"/>
          <w:b/>
          <w:bCs/>
          <w:sz w:val="24"/>
          <w:szCs w:val="24"/>
        </w:rPr>
      </w:pPr>
      <w:r w:rsidRPr="00271F59">
        <w:rPr>
          <w:rFonts w:eastAsia="Calibri" w:cs="Times New Roman"/>
          <w:b/>
          <w:bCs/>
          <w:sz w:val="24"/>
          <w:szCs w:val="24"/>
        </w:rPr>
        <w:t>Tài liệu tham khảo</w:t>
      </w:r>
    </w:p>
    <w:p w14:paraId="11B9F111" w14:textId="77777777" w:rsidR="00C32C91" w:rsidRPr="00271F59" w:rsidRDefault="00C32C91" w:rsidP="00C32C91">
      <w:pPr>
        <w:rPr>
          <w:rFonts w:eastAsia="Calibri" w:cs="Times New Roman"/>
          <w:sz w:val="24"/>
          <w:szCs w:val="24"/>
        </w:rPr>
      </w:pPr>
      <w:r w:rsidRPr="00271F59">
        <w:rPr>
          <w:rFonts w:eastAsia="Calibri" w:cs="Times New Roman"/>
          <w:szCs w:val="20"/>
        </w:rPr>
        <w:t xml:space="preserve">1. </w:t>
      </w:r>
      <w:hyperlink r:id="rId5" w:history="1">
        <w:r w:rsidRPr="00271F59">
          <w:rPr>
            <w:rFonts w:eastAsia="Calibri" w:cs="Times New Roman"/>
            <w:sz w:val="24"/>
            <w:szCs w:val="24"/>
            <w:shd w:val="clear" w:color="auto" w:fill="FFFFFF"/>
          </w:rPr>
          <w:t>John Meurig Thomas</w:t>
        </w:r>
      </w:hyperlink>
      <w:r w:rsidRPr="00271F59">
        <w:rPr>
          <w:rFonts w:eastAsia="Calibri" w:cs="Times New Roman"/>
          <w:sz w:val="24"/>
          <w:szCs w:val="24"/>
          <w:shd w:val="clear" w:color="auto" w:fill="FFFFFF"/>
        </w:rPr>
        <w:t>, ‎</w:t>
      </w:r>
      <w:hyperlink r:id="rId6" w:history="1">
        <w:r w:rsidRPr="00271F59">
          <w:rPr>
            <w:rFonts w:eastAsia="Calibri" w:cs="Times New Roman"/>
            <w:sz w:val="24"/>
            <w:szCs w:val="24"/>
            <w:shd w:val="clear" w:color="auto" w:fill="FFFFFF"/>
          </w:rPr>
          <w:t>W. John Thomas</w:t>
        </w:r>
      </w:hyperlink>
      <w:r w:rsidRPr="00271F59">
        <w:rPr>
          <w:rFonts w:eastAsia="Calibri" w:cs="Times New Roman"/>
          <w:sz w:val="24"/>
          <w:szCs w:val="24"/>
          <w:shd w:val="clear" w:color="auto" w:fill="FFFFFF"/>
        </w:rPr>
        <w:t xml:space="preserve">. </w:t>
      </w:r>
      <w:r w:rsidRPr="00271F59">
        <w:rPr>
          <w:rFonts w:eastAsia="Calibri" w:cs="Times New Roman"/>
          <w:i/>
          <w:iCs/>
          <w:sz w:val="24"/>
          <w:szCs w:val="24"/>
          <w:shd w:val="clear" w:color="auto" w:fill="FFFFFF"/>
        </w:rPr>
        <w:t>Principles and Practice of Heterogeneous Catalysis</w:t>
      </w:r>
      <w:r w:rsidRPr="00271F59">
        <w:rPr>
          <w:rFonts w:eastAsia="Calibri" w:cs="Times New Roman"/>
          <w:sz w:val="24"/>
          <w:szCs w:val="24"/>
          <w:shd w:val="clear" w:color="auto" w:fill="FFFFFF"/>
        </w:rPr>
        <w:t>,</w:t>
      </w:r>
      <w:r w:rsidRPr="00271F59">
        <w:rPr>
          <w:rFonts w:eastAsia="Calibri" w:cs="Times New Roman"/>
          <w:i/>
          <w:iCs/>
          <w:sz w:val="24"/>
          <w:szCs w:val="24"/>
        </w:rPr>
        <w:t xml:space="preserve"> </w:t>
      </w:r>
      <w:r w:rsidRPr="00271F59">
        <w:rPr>
          <w:rFonts w:eastAsia="Calibri" w:cs="Times New Roman"/>
          <w:sz w:val="24"/>
          <w:szCs w:val="24"/>
        </w:rPr>
        <w:t xml:space="preserve">Wiley-VCH Verlag GmbH &amp; Co. KGaA, Boschstr. </w:t>
      </w:r>
      <w:r w:rsidRPr="00271F59">
        <w:rPr>
          <w:rFonts w:eastAsia="Calibri" w:cs="Times New Roman"/>
          <w:i/>
          <w:iCs/>
          <w:sz w:val="24"/>
          <w:szCs w:val="24"/>
        </w:rPr>
        <w:t xml:space="preserve">Second, Revised Edition, </w:t>
      </w:r>
      <w:r w:rsidRPr="00271F59">
        <w:rPr>
          <w:rFonts w:eastAsia="Calibri" w:cs="Times New Roman"/>
          <w:sz w:val="24"/>
          <w:szCs w:val="24"/>
        </w:rPr>
        <w:t>Weinheim, Germany, 2015, 12, 69469.</w:t>
      </w:r>
    </w:p>
    <w:p w14:paraId="2561DBCA" w14:textId="77777777" w:rsidR="00000000" w:rsidRPr="00C32C91" w:rsidRDefault="00C32C91" w:rsidP="00C32C91">
      <w:pPr>
        <w:rPr>
          <w:rFonts w:eastAsia="Calibri" w:cs="Times New Roman"/>
          <w:sz w:val="24"/>
          <w:szCs w:val="24"/>
        </w:rPr>
      </w:pPr>
      <w:r w:rsidRPr="00271F59">
        <w:rPr>
          <w:rFonts w:eastAsia="Calibri" w:cs="Times New Roman"/>
          <w:sz w:val="24"/>
          <w:szCs w:val="24"/>
        </w:rPr>
        <w:t xml:space="preserve">2. </w:t>
      </w:r>
      <w:r w:rsidRPr="00271F59">
        <w:rPr>
          <w:rFonts w:eastAsia="Times New Roman" w:cs="Times New Roman"/>
          <w:sz w:val="24"/>
          <w:szCs w:val="24"/>
        </w:rPr>
        <w:t>Geoffrey C. Bond</w:t>
      </w:r>
      <w:r w:rsidRPr="00271F59">
        <w:rPr>
          <w:rFonts w:eastAsia="Calibri" w:cs="Times New Roman"/>
          <w:sz w:val="24"/>
          <w:szCs w:val="24"/>
        </w:rPr>
        <w:t xml:space="preserve">, </w:t>
      </w:r>
      <w:r w:rsidRPr="00271F59">
        <w:rPr>
          <w:rFonts w:eastAsia="Times New Roman" w:cs="Times New Roman"/>
          <w:i/>
          <w:iCs/>
          <w:sz w:val="24"/>
          <w:szCs w:val="24"/>
        </w:rPr>
        <w:t>Accounts of Chemical Research,</w:t>
      </w:r>
      <w:r w:rsidRPr="00271F59">
        <w:rPr>
          <w:rFonts w:eastAsia="Times New Roman" w:cs="Times New Roman"/>
          <w:sz w:val="24"/>
          <w:szCs w:val="24"/>
        </w:rPr>
        <w:t> 1993, 26(9), tr. 490-495</w:t>
      </w:r>
      <w:r w:rsidRPr="00271F59">
        <w:rPr>
          <w:rFonts w:eastAsia="Times New Roman" w:cs="Times New Roman"/>
          <w:sz w:val="24"/>
          <w:szCs w:val="24"/>
          <w:shd w:val="clear" w:color="auto" w:fill="FFFFFF"/>
        </w:rPr>
        <w:t>.</w:t>
      </w:r>
    </w:p>
    <w:sectPr w:rsidR="00BA5089" w:rsidRPr="00C32C91"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600A"/>
    <w:multiLevelType w:val="hybridMultilevel"/>
    <w:tmpl w:val="DCC2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36388"/>
    <w:multiLevelType w:val="hybridMultilevel"/>
    <w:tmpl w:val="AF3E5F16"/>
    <w:lvl w:ilvl="0" w:tplc="8376A54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655830">
    <w:abstractNumId w:val="0"/>
  </w:num>
  <w:num w:numId="2" w16cid:durableId="1172573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91"/>
    <w:rsid w:val="00194A83"/>
    <w:rsid w:val="00271F59"/>
    <w:rsid w:val="003967FB"/>
    <w:rsid w:val="0044053A"/>
    <w:rsid w:val="00457C2A"/>
    <w:rsid w:val="005C1A5F"/>
    <w:rsid w:val="006A2D7A"/>
    <w:rsid w:val="007E559D"/>
    <w:rsid w:val="0093687C"/>
    <w:rsid w:val="00C32C91"/>
    <w:rsid w:val="00C6061E"/>
    <w:rsid w:val="00D32001"/>
    <w:rsid w:val="00D90ACE"/>
    <w:rsid w:val="00DB3DA9"/>
    <w:rsid w:val="00F17A94"/>
    <w:rsid w:val="00F6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8493"/>
  <w15:chartTrackingRefBased/>
  <w15:docId w15:val="{ACF83F21-8D56-4BD1-BF0D-BF054800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32C91"/>
    <w:pPr>
      <w:jc w:val="left"/>
    </w:pPr>
    <w:rPr>
      <w:rFonts w:eastAsia="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CHBD_viVN823VN823&amp;tbm=bks&amp;q=inauthor:%22W.+John+Thomas%22&amp;sa=X&amp;ved=2ahUKEwiBgsS2p9r6AhVEQd4KHY-7ArwQ9Ah6BAgdEAc" TargetMode="External"/><Relationship Id="rId5" Type="http://schemas.openxmlformats.org/officeDocument/2006/relationships/hyperlink" Target="https://www.google.com/search?rlz=1C1CHBD_viVN823VN823&amp;tbm=bks&amp;q=inauthor:%22John+Meurig+Thomas%22&amp;sa=X&amp;ved=2ahUKEwiBgsS2p9r6AhVEQd4KHY-7ArwQ9Ah6BAgdE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2023-08-21T08:38:00Z</dcterms:created>
  <dcterms:modified xsi:type="dcterms:W3CDTF">2025-12-19T07:17:00Z</dcterms:modified>
</cp:coreProperties>
</file>